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9634"/>
      </w:tblGrid>
      <w:tr w:rsidR="007C5FF1" w:rsidRPr="00DA4670" w:rsidTr="00DA4670">
        <w:tc>
          <w:tcPr>
            <w:tcW w:w="4508" w:type="dxa"/>
          </w:tcPr>
          <w:p w:rsidR="007C5FF1" w:rsidRPr="00DA4670" w:rsidRDefault="007C5FF1" w:rsidP="00143A7C">
            <w:pPr>
              <w:shd w:val="clear" w:color="auto" w:fill="FFFFFF"/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</w:pPr>
            <w:proofErr w:type="spellStart"/>
            <w:r w:rsidRPr="00DA4670">
              <w:rPr>
                <w:rFonts w:ascii="Arial" w:eastAsia="Times New Roman" w:hAnsi="Arial" w:cs="Arial"/>
                <w:b/>
                <w:bCs/>
                <w:color w:val="333333"/>
              </w:rPr>
              <w:t>Obamacare</w:t>
            </w:r>
            <w:proofErr w:type="spellEnd"/>
            <w:r w:rsidR="00C0324F" w:rsidRPr="00DA4670"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  <w:t>-ის</w:t>
            </w:r>
            <w:r w:rsidR="00532ADE" w:rsidRPr="00DA4670"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  <w:t xml:space="preserve"> </w:t>
            </w:r>
            <w:r w:rsidR="00EF63E1" w:rsidRPr="00DA4670"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  <w:t>მოქმედებ</w:t>
            </w:r>
            <w:r w:rsidR="0040747E" w:rsidRPr="00DA4670">
              <w:rPr>
                <w:rFonts w:ascii="Sylfaen" w:eastAsia="Times New Roman" w:hAnsi="Sylfaen" w:cs="Arial"/>
                <w:b/>
                <w:bCs/>
                <w:color w:val="333333"/>
                <w:lang w:val="ka-GE"/>
              </w:rPr>
              <w:t>ის ფარგლებში</w:t>
            </w:r>
          </w:p>
          <w:p w:rsidR="007C5FF1" w:rsidRPr="00DA4670" w:rsidRDefault="007C5FF1" w:rsidP="00143A7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634" w:type="dxa"/>
          </w:tcPr>
          <w:p w:rsidR="007C5FF1" w:rsidRPr="00DA4670" w:rsidRDefault="009137A5" w:rsidP="009137A5">
            <w:pPr>
              <w:rPr>
                <w:rFonts w:ascii="Sylfaen" w:hAnsi="Sylfaen"/>
                <w:b/>
                <w:lang w:val="ka-GE"/>
              </w:rPr>
            </w:pPr>
            <w:r w:rsidRPr="00DA4670">
              <w:rPr>
                <w:rFonts w:ascii="Sylfaen" w:hAnsi="Sylfaen" w:cs="Arial"/>
                <w:b/>
                <w:bCs/>
                <w:color w:val="333333"/>
                <w:shd w:val="clear" w:color="auto" w:fill="FFFFFF"/>
                <w:lang w:val="ka-GE"/>
              </w:rPr>
              <w:t>რესპუბლიკელთა ფრაქციის კანონპროექტი</w:t>
            </w:r>
          </w:p>
        </w:tc>
      </w:tr>
      <w:tr w:rsidR="007C5FF1" w:rsidRPr="00DA4670" w:rsidTr="00DA4670">
        <w:trPr>
          <w:trHeight w:val="4516"/>
        </w:trPr>
        <w:tc>
          <w:tcPr>
            <w:tcW w:w="4508" w:type="dxa"/>
          </w:tcPr>
          <w:p w:rsidR="007C5FF1" w:rsidRPr="00DA4670" w:rsidRDefault="00C94907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ინდივიდუალური მანდატი</w:t>
            </w:r>
          </w:p>
          <w:p w:rsidR="007C5FF1" w:rsidRPr="00DA4670" w:rsidRDefault="00C94907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ხელმისაწვდომი სამედიცინო მომსახურების საკანონმდებლო აქტი (ACA) მოითხოვს ადამიანებისაგან, რომელთაც  შეუძ</w:t>
            </w:r>
            <w:r w:rsidR="0040747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ლ</w:t>
            </w:r>
            <w:r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იათ გაწვდნენ მას, მოიპოვონ ჯანმრთელობის სამედიცინო დაზღვევა ან გადაიხადონ  სადაზღვევო გადასახადის გადაუხდელობისათვის დაკისრებული  ჯარიმა</w:t>
            </w:r>
            <w:r w:rsidR="00532AD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.  კანონპროექტის</w:t>
            </w:r>
            <w:r w:rsidR="00FA4314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C0324F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532AD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მოცემული ნაწილი</w:t>
            </w:r>
            <w:r w:rsidR="0030749C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ს მიზანი იყო</w:t>
            </w:r>
            <w:r w:rsidR="00532AD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დაზღვევა ხელმისა</w:t>
            </w:r>
            <w:r w:rsidR="0030749C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წ</w:t>
            </w:r>
            <w:r w:rsidR="00532ADE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ვდომი </w:t>
            </w:r>
            <w:r w:rsidR="0030749C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გაეხადა  ხანდაზმული და ავადმყოფი მოსახლეობის</w:t>
            </w:r>
            <w:r w:rsidR="0030749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C94907" w:rsidP="00DA4670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  <w:t>გაუქმე</w:t>
            </w:r>
            <w:r w:rsidR="0040747E" w:rsidRPr="00DA4670"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  <w:t>ულია</w:t>
            </w:r>
          </w:p>
          <w:p w:rsidR="007C5FF1" w:rsidRPr="00DA4670" w:rsidRDefault="009137A5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რესპუბლიკელთა ფრაქციის კანონპროექტი აუქმებს ინდივიდუა</w:t>
            </w:r>
            <w:r w:rsidR="004074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ლ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ურ მანდატს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(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არა თვით მანდატს, არამედ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ჯარ</w:t>
            </w:r>
            <w:r w:rsidR="004074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),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რაც იმას ნიშნავს, რომ ადამიანებს არ მოუწევთ ჯარიმის გადახდა, თუკი  </w:t>
            </w:r>
            <w:r w:rsidR="004074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მათ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არ ექნებათ დაზღვევა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თუმცა, </w:t>
            </w:r>
            <w:r w:rsidR="004074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მოცემული სისტემის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ერთ-ერთ შესაძლო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შედეგს წარმოადგენს ის, რომ ჯანმრთელი ადამიანები, სავარაუდოდ, ნაკლებად შეიძენენ სადაზღვევო უზრუნველყოფას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რითაც ფასები 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აი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ზრდება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მათთვის, ვისაც ყველაზე მეტად სჭირდება დაზღვევა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კერძოდ კი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ხანდაზმულებისა და ავადმყოფებისათვის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ამგვარი სიტუაციის შეზღუდვის მიზნით, ზემოთ ხსენებული გეგმა გვთავაზობს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ე.წ.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“</w:t>
            </w:r>
            <w:r w:rsidR="0020784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სადაზღვევო დაფარვის მუდმივ სტიმულს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,” </w:t>
            </w:r>
            <w:r w:rsidR="005E50AB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რომელიც ადამიანებს </w:t>
            </w:r>
            <w:r w:rsidR="005E50AB" w:rsidRPr="00DA467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დააკისრებს 30 პროცენტიან </w:t>
            </w:r>
            <w:r w:rsidR="00CA631A" w:rsidRPr="00DA467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ჯარიმას</w:t>
            </w:r>
            <w:r w:rsidR="005E50AB" w:rsidRPr="00DA467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ინდივიდუალური ბაზრის ფარგლებში სამედიცინო სადაზღვევო დაფარვის წყვეტის გამო. თუკი მოქალაქის სადაზღვევო დაფარვის </w:t>
            </w:r>
            <w:r w:rsidR="005E50AB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(მოცვის) წყვეტა შეადგენს 63 დღეს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5E50AB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მიყოლებით ან უფრო 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მ</w:t>
            </w:r>
            <w:r w:rsidR="00FF768F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ე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ტ</w:t>
            </w:r>
            <w:r w:rsidR="005E50AB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ს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საანგარიშო პერიოდის განმავლობაში,  პირს ეკისრება ჯარიმა </w:t>
            </w:r>
            <w:r w:rsidR="00BF68E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რეგისტრაციის  </w:t>
            </w:r>
            <w:r w:rsidR="00BF68E8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ვადის გადაცილებისათვის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FF768F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დამქირავებელთა მანდატი</w:t>
            </w:r>
          </w:p>
          <w:p w:rsidR="007C5FF1" w:rsidRDefault="00FF768F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მსხვილი კომპანიები ვალდებულნი არიან უზრუნველყონ საკუთარი თანამშრომლების ხელმისაწვდომი სადაზღვევო უზრუნველყოფა ან, წინააღმდეგ შემთხვევაში, </w:t>
            </w:r>
            <w:r w:rsidR="00EF63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მათ დაეკისრებათ შესაბამისი ფინანსური სანქციები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EF63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ამ მანდატმა უნდა უზრუნველყოს სრულ განაკვეთზე მომუშავე თანამშრომლების სადაზღვევო დაფარვა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Pr="00DA4670" w:rsidRDefault="00DA467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EF63E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>საგადასახადო შეღავათები მცირე დამქირავებლისათვის, რომელიც სთავაზობს სამედიცინო დაზღვევას თავის თანამშრომლებს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FF768F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lastRenderedPageBreak/>
              <w:t>გაუქმებ</w:t>
            </w:r>
            <w:r w:rsidR="00CA631A"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ული</w:t>
            </w: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922162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ka-GE"/>
              </w:rPr>
              <w:lastRenderedPageBreak/>
              <w:t>გაუქმებულია</w:t>
            </w: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EF63E1" w:rsidP="00DA4670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 xml:space="preserve">სუბსიდიები </w:t>
            </w:r>
            <w:r w:rsidR="004A6F0C" w:rsidRPr="00DA4670">
              <w:rPr>
                <w:rFonts w:ascii="Sylfaen" w:hAnsi="Sylfaen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A6F0C" w:rsidRPr="00DA4670">
              <w:rPr>
                <w:rFonts w:ascii="Sylfaen" w:hAnsi="Sylfaen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ჯიბიდან გადახდილი ნაღდი ხარჯებისათვის 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A6F0C" w:rsidP="00DA4670">
            <w:pPr>
              <w:shd w:val="clear" w:color="auto" w:fill="FFFFFF"/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ფედერალური მთავრობა უ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ზ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რუნველყოფს საგადასახადო კრედიტებს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(შეღავათებს)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რათა დაეხმაროს ადამიანთა გარკვეულ ნაწილს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გადაიხადონ 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ფრანშიზა (არაანაზღაურებადი მინიმუმი) და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განახორციელონ თანადაფინანსება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634" w:type="dxa"/>
          </w:tcPr>
          <w:p w:rsidR="007C5FF1" w:rsidRPr="00DA4670" w:rsidRDefault="00EF63E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გაუქმებ</w:t>
            </w:r>
            <w:r w:rsidR="00CA631A"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ული</w:t>
            </w: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ა</w:t>
            </w:r>
          </w:p>
          <w:p w:rsidR="007C5FF1" w:rsidRPr="00DA4670" w:rsidRDefault="00CA631A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2020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წელს გა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უქმ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ებ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მოცემულ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ეგრეთ წოდებულ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თანადანახარჯების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სუბსიდიები </w:t>
            </w:r>
            <w:r w:rsidR="00294B7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4056BB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პრემიალური სადაზღვევო სუბსიდიები  კერძო პირთათვის</w:t>
            </w:r>
          </w:p>
          <w:p w:rsidR="007C5FF1" w:rsidRPr="00DA4670" w:rsidRDefault="004056BB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ფედერალური მთავრობა უზრუნველყოფს საგადასახადო </w:t>
            </w:r>
            <w:r w:rsidR="004571C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შეღავათებს (სუბსიდიებს) საშუალო შემოსავლის მქონე  ამერიკელებისათვის მცოცავი სკალით,  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მათი შემოსავლების</w:t>
            </w:r>
            <w:r w:rsidR="004571C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მიხედვით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4571C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რათა დაეხმაროს მათ პრემიალური ხარჯებისა და ფრანშიზების (არაანაზღაურებადი მინიმუმის)  </w:t>
            </w:r>
            <w:r w:rsidR="00CA631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კომპენსირებ</w:t>
            </w:r>
            <w:r w:rsidR="004571C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აში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294B70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A5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t>ცვლილება</w:t>
            </w:r>
          </w:p>
          <w:p w:rsidR="007C5FF1" w:rsidRPr="00DA4670" w:rsidRDefault="004571C2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დაწყებული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2020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შემოსავალზე დაფუძნებული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საგადასახადო შეღავათები ჩანაცვლდება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FD7894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ასაკზე მორგებული </w:t>
            </w:r>
            <w:r w:rsidR="00143A7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ერთიანი (ფიქსირებული) </w:t>
            </w:r>
            <w:r w:rsidR="00FD7894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საგადასახადო კრედიტით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205BE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კრედიტები გადაიხდება თვიურად და არსებობს, აგრეთვე, წლიური საკრედიტო თანხები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205BE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ამას გარდა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205BE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საგადასახადო შეღავათის 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მიღებ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თანდათანობით  წყდება  დაწყებული </w:t>
            </w:r>
            <w:r w:rsidR="0009655D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$75,000 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-ზე მეტი ოდენობის შემოსავლიდან  და ოჯახის შემთხვევაში გამომუშავებული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$150,000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-დან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საგადასახადო შეღავათის შემცირება ნულამდე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: 190,000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დოლარის ოდენობი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ოსავლის შემთხვევაში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09655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წყვილებისათვის </w:t>
            </w:r>
            <w:r w:rsidR="00F23CA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ასაკით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29</w:t>
            </w:r>
            <w:r w:rsidR="00F23CA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წლამდე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="00F23CA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230,000</w:t>
            </w:r>
            <w:r w:rsidR="00F23CA0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დოლარის ოდენობის შემოსავლის შემთხვევაში 60 წელს მიღწეული ან უფრო ხანდაზმული წყვილებისათვის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Default="00F23CA0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შტატებმა უნდა დაამოწმონ გეგმები, რომელიც კრედიტების მიღების უფლებას იძლევა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და დაწყებული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2018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შტატები განსაზღვრავს ჯანმრთელობის დაცვის ძირითად 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აუცილებელ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შეღავათებს პრემიალური საგადასახადო კრედიტ</w:t>
            </w:r>
            <w:r w:rsidR="00995D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ებ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 მინიჭების მიზნით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P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lastRenderedPageBreak/>
              <w:t>Medicaid</w:t>
            </w:r>
            <w:r w:rsidR="00F23CA0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-ის პროგრამის გაფართოვება და განვრცობა</w:t>
            </w:r>
          </w:p>
          <w:p w:rsidR="007C5FF1" w:rsidRPr="00DA4670" w:rsidRDefault="00F23CA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-ს გაფართოვება </w:t>
            </w:r>
          </w:p>
          <w:p w:rsidR="007C5FF1" w:rsidRPr="00DA4670" w:rsidRDefault="00F23CA0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3</w:t>
            </w:r>
            <w:r w:rsidR="00F57C6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0-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ზე მეტმა შტატმა გააფართოვა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Medicaid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-ის </w:t>
            </w:r>
            <w:r w:rsidR="00F57C6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F57C6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ფ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არვა</w:t>
            </w:r>
            <w:r w:rsidR="00F57C6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, გაზარდა რა საგადასახადო შეღავათების მიღების უფლება </w:t>
            </w:r>
            <w:r w:rsidR="00F57C6E" w:rsidRPr="00DA4670">
              <w:rPr>
                <w:rFonts w:ascii="Sylfaen" w:eastAsia="Times New Roman" w:hAnsi="Sylfaen" w:cs="Times New Roman"/>
                <w:color w:val="222222"/>
                <w:sz w:val="20"/>
                <w:szCs w:val="20"/>
                <w:lang w:val="ka-GE"/>
              </w:rPr>
              <w:t>ფედერალურად განსაზღვრული სიღარიბის დონის 138 პროცენტამდე შემცირებით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B0531C" w:rsidRPr="00DA4670" w:rsidRDefault="00B0531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  <w:p w:rsidR="00B0531C" w:rsidRPr="00DA4670" w:rsidRDefault="00B0531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B0531C" w:rsidRPr="00DA4670" w:rsidRDefault="00B0531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B0531C" w:rsidRPr="00DA4670" w:rsidRDefault="00B0531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520D10" w:rsidRPr="00DA4670" w:rsidRDefault="00520D10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Medicare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ACA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-ს 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შეღავათების ზრდა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ნულოვანი ღირებულების 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პრევენციული შეღავათები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და სხვა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ACA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-ს მიერ </w:t>
            </w:r>
            <w:r w:rsidR="00BE177F"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Medicare</w:t>
            </w:r>
            <w:r w:rsidR="00BE177F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-ის მიმწოდებელთა გადახდების  შემცირებები </w:t>
            </w:r>
            <w:r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F23CA0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A5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lastRenderedPageBreak/>
              <w:t>ცვლილება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70584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-ის ზრდის შეზღუდვა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-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წარმოადგენს რთულ და კომპლექსურ საკითხს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სწორედ ამ დებულებიდან მომდინარეობს  დაზღვევის არმქონე  პირთა ბევრი შემთხვევა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მოცემული ცვლილება შესაძლებლობას მისცემდა შტატებს კვლავაც გაეგრძელებინა </w:t>
            </w:r>
            <w:r w:rsidR="00BF4B22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-ის გაფართოვება და ამასთანვე უზრუნველყოფდა იმ  შტატებს,  რომელთაც 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ნავ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ც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DF3479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-ის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პროგრამა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გრძელებ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ინათ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ფედერალური </w:t>
            </w:r>
            <w:r w:rsidR="00562BA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დაფ</w:t>
            </w:r>
            <w:r w:rsidR="00BF4B2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ინანსების მიღება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 როგორც ეს გათვალისწინებული იყო</w:t>
            </w:r>
            <w:r w:rsidR="00DF3479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A.C.A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-ას თანახმად 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u w:val="single"/>
                <w:shd w:val="clear" w:color="auto" w:fill="FFFFFF"/>
              </w:rPr>
              <w:t xml:space="preserve"> 2020</w:t>
            </w:r>
            <w:r w:rsidR="00DF3479" w:rsidRPr="00DA4670">
              <w:rPr>
                <w:rFonts w:ascii="Sylfaen" w:hAnsi="Sylfaen" w:cs="Arial"/>
                <w:color w:val="333333"/>
                <w:sz w:val="20"/>
                <w:szCs w:val="20"/>
                <w:u w:val="single"/>
                <w:shd w:val="clear" w:color="auto" w:fill="FFFFFF"/>
                <w:lang w:val="ka-GE"/>
              </w:rPr>
              <w:t xml:space="preserve"> წლამდე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u w:val="single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A4B3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თუმცა, ფედერალური დაფინანსება ადამიანებისათვის, რომლებმაც </w:t>
            </w:r>
            <w:r w:rsidR="00562BA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პირვე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ლად მიიღეს მოცემული უფლება  დაწყებული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2020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წლიდან, ან რომელთაც დატოვეს პროგრამა და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კვლავ დაუბრუნდნენ მას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შემცირდება.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A4B3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-ის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ფედერალური დაფინანსების </w:t>
            </w:r>
            <w:r w:rsidR="00562BA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ჩანაცვლება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ერთ სულ მოსახლეზე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მაქსიმალურად ფიქსირებული თანხი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თ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2020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ეფუძნება იმას, თუ რამდენს ხარჯავდა 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თ</w:t>
            </w:r>
            <w:r w:rsidR="00F5250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ითოეული შტატი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2016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წელს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Default="00562BA2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მატ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ება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სახელმწიფო ალტერნატივა</w:t>
            </w:r>
            <w:r w:rsidR="00BE177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მოხდეს 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</w:t>
            </w:r>
            <w:r w:rsidR="00ED4606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-ის</w:t>
            </w:r>
            <w:r w:rsidR="00ED4606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ED460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მიზნობრივი ერთდროული სუბსუდი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არჩევა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ნაცვლად გარკვეული მოსახლეობისათვის ერთ სულ მოსახლეზე  ფიქსირებული თანხისა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10 წლიანი ფისკალური პერიოდის ვადით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 2020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წლიდან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–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თუკი მოცემული ალტერნატივა არ გაგრძელდა 10 წლიანი პერიოდის დასასრულისათვის,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60838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მაშინ ხდება ერთ სულ მოსახლეზე გათვალისწინებული </w:t>
            </w:r>
            <w:r w:rsidR="007B609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დებულებების გამოყენება.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="007B609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მიზნობრივი ერთდროული სუბსიდიის მისაღებად შტატებმა შეიძლება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7B609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წამოაყენონ  გარკვეული პირობები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7B609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მაგრამ სავალდებულოა ფეხმძიმე ქალებისა და ბავშვების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და მოცემული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სუბსი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 მიღების უფლების მქონე ორსულად მყოფი ქალების ახლადშობილი ჩვილების მოცვა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შტატებმა ასევე უნდა უზრუნველყონ მოვლა საავადმყოფოს პირობებში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ქირურგიული დახმარება და მკურნალობა,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დანიშნული პრეპარატების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1E163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და საპროტეზო საშუალებები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 მიწოდება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DA4670" w:rsidRDefault="00DA4670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Default="00DA4670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DA4670" w:rsidRPr="00DA4670" w:rsidRDefault="00DA4670" w:rsidP="00DA4670">
            <w:pPr>
              <w:spacing w:after="0"/>
              <w:jc w:val="both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BE177F" w:rsidP="00DA4670">
            <w:pPr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>შეიქმნას სახელმწიფო ალტერნატივა</w:t>
            </w:r>
            <w:r w:rsidR="00920A63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რათა </w:t>
            </w:r>
            <w:r w:rsidR="00920A63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მოხდეს 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სამუშაოს -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როგორც კრედიტის მიღების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ათვის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დასაშვებლობის  პირობის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მოთხოვნა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7468CC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Medicaid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-ის პროგრამაში 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რეგისტრირებული არაინვალიდებისათვის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არახანდაზმულთათვის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არაფეხმძიმეთათვის, მათი მონაწილე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ბის გზით </w:t>
            </w:r>
            <w:r w:rsidR="00B0531C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TANF</w:t>
            </w:r>
            <w:r w:rsidR="00B0531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-ის პროგრამაში</w:t>
            </w:r>
            <w:r w:rsidR="00B0531C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0531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განსაზღვრულ 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შესაბამის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სამუშაო აქტივობებ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 და ღონისძიებებ</w:t>
            </w:r>
            <w:r w:rsidR="007468C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ში  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გარკვეული პერიოდის განმავლობაში, რასაც განაპირობებს და მართავს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შტატი, ან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6605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სათანადო საგანმანათლებლო დაწესებულების დამაკმაყოფილებელი დასწრების</w:t>
            </w:r>
            <w:r w:rsidR="00B0531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 და დასაქმებასთან უშუალოდ დაკავშირებული საგანმანათლებლო საქმიანობის 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განხორცი</w:t>
            </w:r>
            <w:r w:rsidR="00B0531C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ელების გზით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B0531C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ყოველ 6 თვეში მოხდეს კრედიტის მიღების დასაშვებლობის  ხელახალი </w:t>
            </w:r>
            <w:r w:rsidR="00792162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შეფასები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 მოთხოვნა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რეგისტრორებულთა  მოცვის გასაფართოვებლად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520D10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მოხდეს 3 თვიანი რეტროაქტიური  მოცვის (დაფარვის) მოთხოვნის გაუქმება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დაიწყოს დასაშვებლობის 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განხორციელება  განაცხადის მიღების თვეში ან ერთი თვის შემდეგ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).</w:t>
            </w: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520D10" w:rsidRPr="00DA4670" w:rsidRDefault="00520D10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E177F" w:rsidRPr="00DA4670" w:rsidRDefault="00BE177F" w:rsidP="00DA4670">
            <w:pPr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</w:t>
            </w:r>
            <w:r w:rsidR="00720A47"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ულია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520D10" w:rsidRPr="00DA4670" w:rsidRDefault="00520D10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C5FF1" w:rsidRPr="00DA4670" w:rsidRDefault="00BE177F" w:rsidP="00DA4670">
            <w:pPr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</w:t>
            </w:r>
            <w:r w:rsidR="00720A47"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ულია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7C5FF1" w:rsidRPr="00DA4670" w:rsidRDefault="00BE177F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t>ცვლილება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  <w:p w:rsidR="007C5FF1" w:rsidRPr="00DA4670" w:rsidRDefault="00520D10" w:rsidP="00DA4670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გაიზარდოს 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>Medicare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-ის 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საგადასახადო პრემიები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(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ნაწილი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B – 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დაზღვევა მოიცავს ამბულატორულ მკურნალობას</w:t>
            </w:r>
            <w:r w:rsidR="007C5FF1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="008D7D26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პროფილაქტიკურ მომსახურებას</w:t>
            </w:r>
            <w:r w:rsidR="007C5FF1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8D7D26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>სასწრაფო დახმარების სამსახურსა</w:t>
            </w:r>
            <w:r w:rsidR="00792162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>;</w:t>
            </w:r>
            <w:r w:rsidR="008D7D26" w:rsidRPr="00DA4670">
              <w:rPr>
                <w:rFonts w:ascii="Sylfaen" w:hAnsi="Sylfaen" w:cs="Arial"/>
                <w:color w:val="222222"/>
                <w:sz w:val="20"/>
                <w:szCs w:val="20"/>
                <w:shd w:val="clear" w:color="auto" w:fill="FFFFFF"/>
                <w:lang w:val="ka-GE"/>
              </w:rPr>
              <w:t xml:space="preserve"> და ნაწილი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D</w:t>
            </w:r>
            <w:r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– 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რეცეპტით გამოწერილი წამ</w:t>
            </w:r>
            <w:r w:rsidR="00792162" w:rsidRPr="00DA4670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კების დაფარვა</w:t>
            </w:r>
            <w:r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) 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უფრო მაღალი შემოსავლის  მქონე ბენეფიციარებისათვის 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(</w:t>
            </w:r>
            <w:r w:rsidRPr="00DA4670">
              <w:rPr>
                <w:rFonts w:ascii="Sylfaen" w:hAnsi="Sylfaen"/>
                <w:sz w:val="20"/>
                <w:szCs w:val="20"/>
                <w:lang w:val="en-US"/>
              </w:rPr>
              <w:t>$85,000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-ზე მეტი ოდენობის მქონე 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მოქალაქეთათვის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D7D26" w:rsidRPr="00DA4670">
              <w:rPr>
                <w:rFonts w:ascii="Sylfaen" w:hAnsi="Sylfaen"/>
                <w:sz w:val="20"/>
                <w:szCs w:val="20"/>
                <w:lang w:val="ka-GE"/>
              </w:rPr>
              <w:t>ერთ პირზე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  <w:p w:rsidR="007C5FF1" w:rsidRPr="00DA4670" w:rsidRDefault="007C5FF1" w:rsidP="00DA4670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7C5FF1" w:rsidRDefault="00CD60F5" w:rsidP="00DA4670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შეიქმნა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700F3F" w:rsidRPr="00DA4670">
              <w:rPr>
                <w:rFonts w:ascii="Sylfaen" w:hAnsi="Sylfaen"/>
                <w:sz w:val="20"/>
                <w:szCs w:val="20"/>
                <w:lang w:val="en-US"/>
              </w:rPr>
              <w:t>Medicare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-ისა და </w:t>
            </w:r>
            <w:r w:rsidR="00700F3F" w:rsidRPr="00DA4670">
              <w:rPr>
                <w:rFonts w:ascii="Sylfaen" w:hAnsi="Sylfaen"/>
                <w:sz w:val="20"/>
                <w:szCs w:val="20"/>
                <w:lang w:val="en-US"/>
              </w:rPr>
              <w:t>Medicaid Innovation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>-ის</w:t>
            </w:r>
            <w:r w:rsidR="00700F3F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ახალი ცენტრი  ხარჯების კონტროლის მეთოდების 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ტესტირების, შეფასებისა და გაფართოვების, </w:t>
            </w:r>
            <w:r w:rsidR="00792162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>ასევე სამედიცინო დახმარების ხარისხის ამაღლების  მიზნით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; 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="00792162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შემუშავდეს</w:t>
            </w:r>
            <w:r w:rsidR="00700F3F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>საჯარიმო სანქციების პროგრამები საავადმყოფოში განმეორებითი ჰოსპიტალიზაციისა</w:t>
            </w:r>
            <w:r w:rsidR="00792162"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და</w:t>
            </w:r>
            <w:r w:rsidRPr="00DA4670">
              <w:rPr>
                <w:rFonts w:ascii="Sylfaen" w:hAnsi="Sylfaen"/>
                <w:sz w:val="20"/>
                <w:szCs w:val="20"/>
                <w:lang w:val="ka-GE"/>
              </w:rPr>
              <w:t xml:space="preserve"> საავადმყოფოს შიდა პირობების გამო</w:t>
            </w:r>
            <w:r w:rsidR="007C5FF1" w:rsidRPr="00DA4670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</w:p>
          <w:p w:rsidR="00DA4670" w:rsidRDefault="00DA4670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DA4670" w:rsidRPr="00DA4670" w:rsidRDefault="00DA4670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C5FF1" w:rsidRPr="00DA4670" w:rsidTr="00DA4670">
        <w:tc>
          <w:tcPr>
            <w:tcW w:w="4508" w:type="dxa"/>
          </w:tcPr>
          <w:p w:rsidR="007C5FF1" w:rsidRPr="00DA4670" w:rsidRDefault="00CD60F5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lastRenderedPageBreak/>
              <w:t>ჯანმრთელობის შემნახველი ანაბარი</w:t>
            </w:r>
            <w:r w:rsidR="00792162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 / ანგარიში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2017</w:t>
            </w:r>
            <w:r w:rsidR="00CD60F5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წელს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ცალკეულ კერძო </w:t>
            </w:r>
            <w:r w:rsidR="00CD60F5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პირს შეუძლია </w:t>
            </w:r>
            <w:r w:rsidR="00720A4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დაუბეგრავად </w:t>
            </w:r>
            <w:proofErr w:type="gramStart"/>
            <w:r w:rsidR="00720A4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შეინახ</w:t>
            </w:r>
            <w:r w:rsidR="00CD60F5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ოს 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$</w:t>
            </w:r>
            <w:proofErr w:type="gramEnd"/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3,400 </w:t>
            </w:r>
            <w:r w:rsidR="00CD60F5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 ხოლო ოჯახ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="00CD60F5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720A4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 </w:t>
            </w:r>
            <w:r w:rsidR="00CD60F5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$6,750 </w:t>
            </w:r>
            <w:r w:rsidR="00720A4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ჯანმრთელობისათვის განკუთვნილ შემნახველ ანგარიშზე</w:t>
            </w:r>
            <w:r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CD60F5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t>ცვლილება</w:t>
            </w:r>
          </w:p>
          <w:p w:rsidR="007C5FF1" w:rsidRPr="00DA4670" w:rsidRDefault="00720A47" w:rsidP="00DA4670">
            <w:pPr>
              <w:shd w:val="clear" w:color="auto" w:fill="FFFFFF"/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საშუალებას მისცემს ადამიანებს შეინახონ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გაცილებით მეტი თანხა  ჯანმრთელობისათვის განკუთვნილ  შემნახველ ანგარიშზე, ხოლო მეუღლეებს კი - გა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ნახორციელონ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დამატებითი შენატანები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  <w:r w:rsidR="00EA769F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2018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ძირითადი შეზღუდვა</w:t>
            </w:r>
            <w:r w:rsidR="0078312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შეადგენს მინიმუმ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$6,550 </w:t>
            </w:r>
            <w:r w:rsidR="0078312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ცალკეული პირისათვის და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$13,100 </w:t>
            </w:r>
            <w:r w:rsidR="0078312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ოჯახისათვის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.</w:t>
            </w:r>
          </w:p>
        </w:tc>
      </w:tr>
      <w:tr w:rsidR="007C5FF1" w:rsidRPr="00DA4670" w:rsidTr="00DA4670">
        <w:trPr>
          <w:trHeight w:val="2357"/>
        </w:trPr>
        <w:tc>
          <w:tcPr>
            <w:tcW w:w="4508" w:type="dxa"/>
          </w:tcPr>
          <w:p w:rsidR="007C5FF1" w:rsidRPr="00DA4670" w:rsidRDefault="00E77385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ხანდაზმული ამერიკელების უფრო მეტად დაბეგვრის </w:t>
            </w:r>
            <w:r w:rsidR="007C5FF1" w:rsidRPr="00DA467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 </w:t>
            </w: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შეზღუდვები</w:t>
            </w:r>
          </w:p>
          <w:p w:rsidR="007C5FF1" w:rsidRPr="00DA4670" w:rsidRDefault="00E77385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გეგმებმა / პროგრამებმა თავის </w:t>
            </w:r>
            <w:r w:rsidR="003124B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ყველაზე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ხანდაზმულ კლიენტებს 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შეიძლება დააკისრონ 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მხოლოდ 3-ჯერ მეტი ფასის</w:t>
            </w:r>
            <w:r w:rsidR="003124B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გადახდა ყველაზე ახალგაზრდა მომხმარებლებთან შედარებით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634" w:type="dxa"/>
          </w:tcPr>
          <w:p w:rsidR="007C5FF1" w:rsidRPr="00DA4670" w:rsidRDefault="003124B6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A5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A500"/>
                <w:sz w:val="20"/>
                <w:szCs w:val="20"/>
                <w:lang w:val="ka-GE"/>
              </w:rPr>
              <w:t>ცვლილება</w:t>
            </w:r>
          </w:p>
          <w:p w:rsidR="007C5FF1" w:rsidRPr="00DA4670" w:rsidRDefault="003124B6" w:rsidP="00DA4670">
            <w:pPr>
              <w:shd w:val="clear" w:color="auto" w:fill="FFFFFF"/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შესაძლებლობას მისცემს დამზღვევებს 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უფრო ხანდაზმულ კლიენტებს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დააკისრონ  5-ჯერ მეტი ფასის გადახდა შედარებით ახალგაზრდებთან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;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ხოლო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შტატებს კი საკუთარი პროცენტული თანაფარდობის შემუშავების  შესაძლებლობას მისცემს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08" w:type="dxa"/>
          </w:tcPr>
          <w:p w:rsidR="007C5FF1" w:rsidRPr="00DA4670" w:rsidRDefault="00EA769F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</w:pPr>
            <w:r w:rsidRPr="00DA467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ka-GE"/>
              </w:rPr>
              <w:t>26</w:t>
            </w: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 წლამდე </w:t>
            </w:r>
            <w:r w:rsidR="003124B6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კმაყოფაზე მყოფ პირთა სადაზღვევო დაფარვა </w:t>
            </w:r>
          </w:p>
          <w:p w:rsidR="007C5FF1" w:rsidRPr="00DA4670" w:rsidRDefault="003124B6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ბავშვები შეიძლება დარჩნენ საკუთარი მშობლების სადაზღვევო </w:t>
            </w:r>
            <w:r w:rsidR="006C694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პოლისებ</w:t>
            </w:r>
            <w:r w:rsidR="00EA769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 მომსახურების ფარგლებ</w:t>
            </w:r>
            <w:r w:rsidR="006C694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ში 26 წლის ასაკამდე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634" w:type="dxa"/>
          </w:tcPr>
          <w:p w:rsidR="007C5FF1" w:rsidRPr="00DA4670" w:rsidRDefault="00720A47" w:rsidP="00DA4670">
            <w:pPr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08" w:type="dxa"/>
          </w:tcPr>
          <w:p w:rsidR="007C5FF1" w:rsidRPr="00DA4670" w:rsidRDefault="0068734F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შეზღუდვები სადაზღვევო კომპანიების პოლიტიკასთან დაკავშირებით </w:t>
            </w:r>
          </w:p>
          <w:p w:rsidR="007C5FF1" w:rsidRPr="00DA4670" w:rsidRDefault="0068734F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theme="minorHAnsi"/>
                <w:b/>
                <w:sz w:val="20"/>
                <w:szCs w:val="20"/>
                <w:lang w:val="ka-GE"/>
              </w:rPr>
              <w:t>წინასწარ არსებული სამედიცინო მდგომარეობების პოლისები</w:t>
            </w:r>
          </w:p>
          <w:p w:rsidR="007C5FF1" w:rsidRPr="00DA4670" w:rsidRDefault="0068734F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მოითხოვს მზღვეველთაგან ადამიანთა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>სადაზღვევო უზრუნველყოფას მიუხედავად მათი  წინასწარ არსებული სამედიცინო მდგომარეობებისა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 უკრძალავს კომპანიებს ადამიანის მეტად დაბეგვრას  ჯანმრთელობის მდგომარეობის ისტორიის საფუძველზე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16A83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სადაზღვევო კომპანიების შეჩერება გაუმართლებელი  გაზრდილი განაკვეთების დაკისრებისაგან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416A83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მოთხოვნა ყველა კერძო სადაზღვევო გეგმების მიმართ, მოხდეს გამჭვირვალობასთან დაკავშირებული მონაცემების ანგარიშის სახით შეტყობინება  და სტანდარტული, ადვილად წასაკითხი შემაჯამებელი რეზიუმეს წარდგენა  შეღავათებისა და </w:t>
            </w:r>
            <w:r w:rsidR="00794FD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დაფარვების შესაებ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7C5FF1" w:rsidRPr="00DA4670" w:rsidRDefault="00794FD7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მინიმალური სამედიცინო დანაკარგების </w:t>
            </w:r>
            <w:r w:rsidR="00C20307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კოეფიციენტ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ის </w:t>
            </w:r>
            <w:r w:rsidR="00FA1FF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(</w:t>
            </w:r>
            <w:r w:rsidR="00FA1FFF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MLR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)</w:t>
            </w:r>
            <w:r w:rsidR="00FA1FF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სტანდარტები ყველა სამედიცინო სადაზღვევო  გეგმისათვის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ACA</w:t>
            </w:r>
            <w:r w:rsidR="00B67E05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)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მოითხოვს სამედიცინო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სა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დაზღვევ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ო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 </w:t>
            </w:r>
            <w:r w:rsidR="009A4EEF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1B223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კომპანიისგან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კლინიკურ მომსახურებასა და ხარისხის გაუმჯობესებაზე დახარჯული პრემიალური შემოსავლების წილის შესახებ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იმ 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მონაცემთა განსახილველად წარდგენას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რომელიც ასევე  სამედიცინო დანაკარგების კოეფიციენტის სახელითაა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20307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ცნობილი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EA769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proofErr w:type="gramStart"/>
            <w:r w:rsidR="005E166E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ACA </w:t>
            </w:r>
            <w:r w:rsidR="005E166E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ასევე</w:t>
            </w:r>
            <w:proofErr w:type="gramEnd"/>
            <w:r w:rsidR="009A4EEF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="005E166E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მოითხოვს </w:t>
            </w:r>
            <w:r w:rsidR="001B223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სადაზღვევო კომპანიებისგან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რეგისტრირებულ</w:t>
            </w:r>
            <w:r w:rsidR="00EA769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პირ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თა </w:t>
            </w:r>
            <w:r w:rsidR="005E166E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ფასდაკლებების გა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მოქვეყნებ</w:t>
            </w:r>
            <w:r w:rsidR="005E166E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ას</w:t>
            </w:r>
            <w:r w:rsidR="009A4EEF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,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თუკი მოცემული პროცენტული თანაფარდობა არ შეესაბამება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lastRenderedPageBreak/>
              <w:t>მინიმალურ სტანდარტებს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ACA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მოითხოვს დამზღვევი კომპანიებისაგან, დახარჯონ </w:t>
            </w:r>
            <w:r w:rsidR="00EA769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პრემიალური დოლარების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სულ მცირე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80%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ან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85% </w:t>
            </w:r>
            <w:r w:rsidR="00D70268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სამედიცინო მომსახურებაზე, და ამასთან გადახედონ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დებულებებს, რომლებიც აკისრებენ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უფრო მკაცრ შეზღუდვებს სამედიცინო დაზღვევის საგადასახადო ტარიფების ზრდ</w:t>
            </w:r>
            <w:r w:rsidR="004701E1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აზე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თუკი  </w:t>
            </w:r>
            <w:r w:rsidR="001B223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სადაზღვევო კომპანია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ვერ აკმაყოფილებს შესაბამის მოქმედ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MLR </w:t>
            </w:r>
            <w:r w:rsidR="00FA1FFF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(მინიმალური </w:t>
            </w:r>
            <w:r w:rsidR="00FA1FF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სამედიცინო დანაკარგების 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კოეფიციენტი</w:t>
            </w:r>
            <w:r w:rsidR="00FA1FFF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) სტანდარტებს ნებისმიერი მოცემული წლის განმავლობაში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1B223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მას</w:t>
            </w:r>
            <w:r w:rsidR="006C5D05" w:rsidRPr="00DA4670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მოეთხოვება  უზრუნველყოს ფასდაკლება თავისი კლიენტებისათვის</w:t>
            </w:r>
            <w:bookmarkStart w:id="0" w:name="_GoBack"/>
            <w:bookmarkEnd w:id="0"/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416A83" w:rsidRPr="00DA4670" w:rsidRDefault="00416A83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</w:p>
          <w:p w:rsidR="007C5FF1" w:rsidRPr="00DA4670" w:rsidRDefault="00720A47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416A83" w:rsidRPr="00DA4670" w:rsidRDefault="00416A83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A769F" w:rsidRPr="00DA4670" w:rsidRDefault="00EA769F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0A47" w:rsidRPr="00DA4670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en-US"/>
              </w:rPr>
            </w:pPr>
          </w:p>
          <w:p w:rsidR="00720A47" w:rsidRPr="00DA4670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  <w:p w:rsidR="00794FD7" w:rsidRPr="00DA4670" w:rsidRDefault="00794FD7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94FD7" w:rsidRPr="00DA4670" w:rsidRDefault="00794FD7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94FD7" w:rsidRPr="00DA4670" w:rsidRDefault="00794FD7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94FD7" w:rsidRPr="00DA4670" w:rsidRDefault="00794FD7" w:rsidP="00DA467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en-US"/>
              </w:rPr>
            </w:pPr>
          </w:p>
          <w:p w:rsidR="00720A47" w:rsidRPr="00DA4670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  <w:lang w:val="en-US"/>
              </w:rPr>
            </w:pP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7C5FF1" w:rsidRPr="00DA4670" w:rsidRDefault="004701E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lastRenderedPageBreak/>
              <w:t xml:space="preserve">ძირითადი </w:t>
            </w:r>
            <w:r w:rsidR="00893BEC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აუცილებელი  ჯანდაცვითი შეღავათები და დაფარვის (მოცვის) ვარიანტები</w:t>
            </w:r>
          </w:p>
          <w:p w:rsidR="009A4EEF" w:rsidRDefault="00893BEC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ყველა დამზღვევმა უნდა შე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თავაზოს თავის კლიენტებს 10 ძირითადი აუცილებელი ჯანდაცვითი შეღავათი </w:t>
            </w:r>
            <w:r w:rsidR="007C5FF1" w:rsidRPr="00DA4670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პაციენტების ამბულატორული მომსახურება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გადაუდებელი დახმარების სამსახურები</w:t>
            </w:r>
            <w:r w:rsidR="007C5FF1" w:rsidRPr="00DA4670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ჰოსპიტალიზაცია</w:t>
            </w:r>
            <w:r w:rsidR="007C5FF1" w:rsidRPr="00DA4670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დედებისა და ახალშობილების სამედიცინო  უზრუნველყოფა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DA0C46" w:rsidRPr="00DA4670">
              <w:rPr>
                <w:rFonts w:ascii="Sylfaen" w:hAnsi="Sylfaen" w:cs="Arial"/>
                <w:b/>
                <w:color w:val="333333"/>
                <w:sz w:val="20"/>
                <w:szCs w:val="20"/>
                <w:shd w:val="clear" w:color="auto" w:fill="FFFFFF"/>
                <w:lang w:val="ka-GE"/>
              </w:rPr>
              <w:t>მომსახურება ფსიქიკური ჯანმრთელობის სფეროში და მავნე დამოკიდებულებების მკურნალობა</w:t>
            </w:r>
            <w:r w:rsidR="007C5FF1" w:rsidRPr="00DA4670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რეცეპტით გამოწერილი წამლების უზრუნველყოფა, სარეაბილიტაციო მომსახურება და აღჭურვილობა -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lastRenderedPageBreak/>
              <w:t>მოწყობილობები</w:t>
            </w:r>
            <w:r w:rsidR="007C5FF1" w:rsidRPr="00DA4670">
              <w:rPr>
                <w:rStyle w:val="Strong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ლაბორატორიული მომსახურება</w:t>
            </w:r>
            <w:r w:rsidR="007C5FF1" w:rsidRPr="00DA467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A0C46" w:rsidRPr="00DA4670">
              <w:rPr>
                <w:rStyle w:val="Strong"/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პედიატრიული მომსახურება, პრევენციული / პროფილაქტიკური მომსახურება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(</w:t>
            </w:r>
            <w:r w:rsidR="00DA0C4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ხარჯთადანაწილების გარეშე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).</w:t>
            </w:r>
          </w:p>
          <w:p w:rsidR="00DA4670" w:rsidRDefault="00DA0C46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</w:p>
          <w:p w:rsidR="00DA4670" w:rsidRDefault="00DA0C46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არც ერთი ძირითადი აუცილებელი შეღავათი არ </w:t>
            </w:r>
            <w:r w:rsidR="0006620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გვთავაზო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ბს წლიურ ან სამუდამო </w:t>
            </w:r>
            <w:r w:rsidR="0006620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შეზღუდვებს და ყველა 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შღავათი </w:t>
            </w:r>
            <w:r w:rsidR="0006620A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უზრუნველყოფს  ხარჯთა განაწილების მინიმალურ შეზღუდვებს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  <w:p w:rsidR="00DA4670" w:rsidRPr="00DA4670" w:rsidRDefault="00DA4670" w:rsidP="00DA4670">
            <w:pPr>
              <w:shd w:val="clear" w:color="auto" w:fill="FFFFFF"/>
              <w:spacing w:after="0"/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</w:pPr>
          </w:p>
          <w:p w:rsidR="007C5FF1" w:rsidRPr="00DA4670" w:rsidRDefault="00972E83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გეგმა უზრუნველყოფს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ოთხი „მეტალის ჯგუფის დონის“ შეღავათს, რომელსაც უწოდებენ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ბრინჯაოს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,”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ვერცხლ</w:t>
            </w:r>
            <w:r w:rsidR="000C0D5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,”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ოქროს</w:t>
            </w:r>
            <w:r w:rsidR="000C0D5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,”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და </w:t>
            </w:r>
            <w:r w:rsidR="000C0D5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„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პლატინას</w:t>
            </w:r>
            <w:r w:rsidR="000C0D56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“ გეგმებს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.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 ბრინჯაოს გეგმა ფარავს საშუალოდ ღირებულების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60%,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ვერცხლისა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”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-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70%,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ოქროსი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”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-</w:t>
            </w:r>
            <w:r w:rsidR="00ED3F1D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80%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, ხოლო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“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პლატინის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” </w:t>
            </w:r>
            <w:r w:rsidR="00ED3F1D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-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90%. </w:t>
            </w:r>
          </w:p>
          <w:p w:rsidR="007C5FF1" w:rsidRPr="00DA4670" w:rsidRDefault="008B4BF4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ყველა გეგმას აქვს მაქსიმალური </w:t>
            </w:r>
            <w:r w:rsidR="000C0D56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„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ჯიბიდან გადახდილი</w:t>
            </w:r>
            <w:r w:rsidR="000C0D56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“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ნაღდი ხარჯები , რომელთა ღირებულება არ აღემატება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$6,600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-ს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ერთ პირზე და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$13,200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-ს ოჯახზე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 2015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 xml:space="preserve"> წ</w:t>
            </w:r>
            <w:r w:rsidR="007C5FF1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  <w:tc>
          <w:tcPr>
            <w:tcW w:w="9634" w:type="dxa"/>
          </w:tcPr>
          <w:p w:rsidR="00720A47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lastRenderedPageBreak/>
              <w:t>შენარჩუნებულია</w:t>
            </w:r>
          </w:p>
          <w:p w:rsidR="00DA4670" w:rsidRPr="00DA4670" w:rsidRDefault="00DA4670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</w:p>
          <w:p w:rsidR="007C5FF1" w:rsidRPr="00DA4670" w:rsidRDefault="00972E83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თუმცა, დაწყებული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2018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წლიდან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შტატებმა ხელახლა უნდა განსაზღვრონ ძირითადი აუცილებელი ჯანდაცვითი შეღავათები პრემიალურ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 საგადასახადო კრედიტებ</w:t>
            </w:r>
            <w:r w:rsidR="004701E1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ის კუთხით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7C5FF1" w:rsidRPr="00DA4670" w:rsidRDefault="007C5FF1" w:rsidP="00DA4670">
            <w:pPr>
              <w:spacing w:after="0"/>
              <w:rPr>
                <w:b/>
                <w:sz w:val="20"/>
                <w:szCs w:val="20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6620A" w:rsidRPr="00DA4670" w:rsidRDefault="0006620A" w:rsidP="00DA4670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C761FC" w:rsidRDefault="00C761FC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</w:p>
          <w:p w:rsidR="007C5FF1" w:rsidRPr="00DA4670" w:rsidRDefault="00720A47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გაუქმებულია</w:t>
            </w:r>
          </w:p>
          <w:p w:rsidR="007C5FF1" w:rsidRPr="00DA4670" w:rsidRDefault="00ED3F1D" w:rsidP="00DA4670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„მეტალის ჯგუფები“ ამოღებულია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 – </w:t>
            </w:r>
            <w:r w:rsidRPr="00DA4670">
              <w:rPr>
                <w:rFonts w:ascii="Sylfaen" w:hAnsi="Sylfaen" w:cs="Arial"/>
                <w:sz w:val="20"/>
                <w:szCs w:val="20"/>
                <w:lang w:val="ka-GE"/>
              </w:rPr>
              <w:t>გამყოფი ხაზი კატასტროფულ დაფარვასა და ძირითად სამედიცინო  დაფარვას შორის გაბუნდოვანდება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. </w:t>
            </w:r>
            <w:r w:rsidRPr="00DA4670">
              <w:rPr>
                <w:rFonts w:ascii="Sylfaen" w:hAnsi="Sylfaen" w:cs="Arial"/>
                <w:sz w:val="20"/>
                <w:szCs w:val="20"/>
                <w:lang w:val="ka-GE"/>
              </w:rPr>
              <w:t xml:space="preserve">ეს ასევე ნიშნავს იმას, რომ 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 “</w:t>
            </w:r>
            <w:r w:rsidRPr="00DA4670">
              <w:rPr>
                <w:rFonts w:ascii="Sylfaen" w:hAnsi="Sylfaen" w:cs="Arial"/>
                <w:sz w:val="20"/>
                <w:szCs w:val="20"/>
                <w:lang w:val="ka-GE"/>
              </w:rPr>
              <w:t>უსარგებლო გეგმები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” </w:t>
            </w:r>
            <w:r w:rsidRPr="00DA4670">
              <w:rPr>
                <w:rFonts w:ascii="Sylfaen" w:hAnsi="Sylfaen" w:cs="Arial"/>
                <w:sz w:val="20"/>
                <w:szCs w:val="20"/>
                <w:lang w:val="ka-GE"/>
              </w:rPr>
              <w:t>შესაძლოა კიდევ ერთხელ გაიყოდოს</w:t>
            </w:r>
            <w:r w:rsidR="007C5FF1" w:rsidRPr="00DA4670">
              <w:rPr>
                <w:rFonts w:ascii="Arial" w:hAnsi="Arial" w:cs="Arial"/>
                <w:sz w:val="20"/>
                <w:szCs w:val="20"/>
                <w:lang w:val="ka-GE"/>
              </w:rPr>
              <w:t xml:space="preserve">. </w:t>
            </w: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7C5FF1" w:rsidRPr="00DA4670" w:rsidRDefault="008B4BF4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lastRenderedPageBreak/>
              <w:t>მაღალი რისკის სადაზღვევო ფონდები (პულები)</w:t>
            </w:r>
          </w:p>
          <w:p w:rsidR="008B4BF4" w:rsidRPr="00DA4670" w:rsidRDefault="008B4BF4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</w:pPr>
          </w:p>
          <w:p w:rsidR="005C1869" w:rsidRPr="00DA4670" w:rsidRDefault="005C1869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</w:pPr>
          </w:p>
          <w:p w:rsidR="007C5FF1" w:rsidRPr="00DA4670" w:rsidRDefault="008B4BF4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>არ არსებობს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C5FF1" w:rsidRPr="00DA4670" w:rsidRDefault="008B4BF4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მაღალი რისკის სადაზღვევო ფონდების (პულების)  შეთავაზება იმ ადამიანებისათვის, რომელთა დაზღვევა არ მოხდებოდა წინასწარ არსებული სამედიცინო მდგომარეობების </w:t>
            </w:r>
            <w:r w:rsidR="001F58E2" w:rsidRPr="00DA4670">
              <w:rPr>
                <w:rFonts w:ascii="Sylfaen" w:hAnsi="Sylfaen" w:cstheme="minorHAnsi"/>
                <w:sz w:val="20"/>
                <w:szCs w:val="20"/>
                <w:lang w:val="ka-GE"/>
              </w:rPr>
              <w:t>გამო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7C5FF1" w:rsidRPr="00DA4670" w:rsidRDefault="00A124AA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შეიქმნას 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„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რისკების დანაწილების უხილავი ფედერალური პროგრამა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„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(FIRSP), </w:t>
            </w:r>
            <w:r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გადაზღვევის პროგრამა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სახელმწიფო გადაზღვევის პროგრამა უზრუნველყოფს მთავრობის სუბსიდიას მზღვეველის დანაკარგების ანაზღაურებ</w:t>
            </w:r>
            <w:r w:rsidR="002D6682" w:rsidRPr="00DA4670">
              <w:rPr>
                <w:rFonts w:ascii="Sylfaen" w:hAnsi="Sylfaen" w:cs="Arial"/>
                <w:color w:val="3C3C3C"/>
                <w:sz w:val="20"/>
                <w:szCs w:val="20"/>
                <w:shd w:val="clear" w:color="auto" w:fill="FFFFFF"/>
                <w:lang w:val="ka-GE"/>
              </w:rPr>
              <w:t>ის მიზნით ძვირადღირებული ფიზიკური პირების მომსახურების შემთხვევაში</w:t>
            </w:r>
            <w:r w:rsidR="007C5FF1" w:rsidRPr="00DA4670">
              <w:rPr>
                <w:rFonts w:ascii="Arial" w:hAnsi="Arial" w:cs="Arial"/>
                <w:color w:val="3C3C3C"/>
                <w:sz w:val="20"/>
                <w:szCs w:val="20"/>
                <w:shd w:val="clear" w:color="auto" w:fill="FFFFFF"/>
              </w:rPr>
              <w:t>)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რომელსაც შტატებისათვის</w:t>
            </w:r>
            <w:r w:rsidR="009A4EEF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D6682" w:rsidRPr="00DA4670">
              <w:rPr>
                <w:rFonts w:ascii="Arial" w:hAnsi="Arial" w:cs="Arial"/>
                <w:color w:val="000000"/>
                <w:sz w:val="20"/>
                <w:szCs w:val="20"/>
              </w:rPr>
              <w:t>Medicare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-ის მომსახურების ცენტრი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შეიმუშავებს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. მოცემული ცენტრი იმუშავებს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გარკვეული მაღალი რისკის მქონე პირების 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იმ 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ხარჯების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პრეტენზიის 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ა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სა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ნაზღაურებ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ლად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, რომელთა დაფარვაც ხდება  </w:t>
            </w:r>
            <w:r w:rsidR="002D6682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მონაწილე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დაზღვევის უზრუნველმყოფელი </w:t>
            </w:r>
            <w:r w:rsidR="000C0D56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ცალკეული </w:t>
            </w:r>
            <w:r w:rsidR="009B297E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კომპანი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ის მიერ</w:t>
            </w:r>
            <w:r w:rsidR="007C5FF1"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7C5FF1" w:rsidRDefault="007C5FF1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467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FIRSP </w:t>
            </w:r>
            <w:r w:rsidR="009B297E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და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ფინანსება შეადგენს </w:t>
            </w:r>
            <w:r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15 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მილიარდს 9 წელზე მეტი პერიოდის განმავლობაში</w:t>
            </w:r>
            <w:r w:rsid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gramStart"/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და  </w:t>
            </w:r>
            <w:r w:rsidR="009B297E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ფინანსური</w:t>
            </w:r>
            <w:proofErr w:type="gramEnd"/>
            <w:r w:rsidR="009B297E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საშუალებების</w:t>
            </w:r>
            <w:r w:rsidR="00B01DA3" w:rsidRPr="00DA4670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სახელმწიფო შესაბამისობა  საჭირო არ არის</w:t>
            </w:r>
            <w:r w:rsidRPr="00DA4670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DA4670" w:rsidRDefault="00DA4670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A4670" w:rsidRDefault="00DA4670" w:rsidP="00DA4670">
            <w:pPr>
              <w:shd w:val="clear" w:color="auto" w:fill="FFFFFF"/>
              <w:spacing w:after="0"/>
              <w:jc w:val="both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</w:pP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7C5FF1" w:rsidRPr="00DA4670" w:rsidRDefault="007C5FF1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  <w:lastRenderedPageBreak/>
              <w:t>ACA</w:t>
            </w:r>
            <w:r w:rsidR="00622FA7"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>-ს გადასახადები</w:t>
            </w:r>
          </w:p>
          <w:p w:rsidR="007C5FF1" w:rsidRPr="00DA4670" w:rsidRDefault="00622FA7" w:rsidP="00DA4670">
            <w:pPr>
              <w:shd w:val="clear" w:color="auto" w:fill="FFFFFF"/>
              <w:spacing w:after="0"/>
              <w:jc w:val="both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en-US"/>
              </w:rPr>
            </w:pP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სამედიცინო დამზღვევ</w:t>
            </w:r>
            <w:r w:rsidR="009B297E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თა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 xml:space="preserve"> გადასახადი</w:t>
            </w:r>
          </w:p>
          <w:p w:rsidR="007C5FF1" w:rsidRPr="00DA4670" w:rsidRDefault="00622FA7" w:rsidP="00DA4670">
            <w:pPr>
              <w:shd w:val="clear" w:color="auto" w:fill="FFFFFF"/>
              <w:spacing w:after="0"/>
              <w:jc w:val="both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en-US"/>
              </w:rPr>
            </w:pP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ფარმაცევტულ მ</w:t>
            </w:r>
            <w:r w:rsidR="009B297E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ე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u w:val="single"/>
                <w:lang w:val="ka-GE"/>
              </w:rPr>
              <w:t>წარმეთა გადასახადი</w:t>
            </w:r>
          </w:p>
          <w:p w:rsidR="007C5FF1" w:rsidRPr="00DA4670" w:rsidRDefault="00622FA7" w:rsidP="00DA4670">
            <w:pPr>
              <w:shd w:val="clear" w:color="auto" w:fill="FFFFFF"/>
              <w:spacing w:after="0"/>
              <w:jc w:val="both"/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Times New Roman"/>
                <w:color w:val="222222"/>
                <w:sz w:val="20"/>
                <w:szCs w:val="20"/>
                <w:lang w:val="ka-GE"/>
              </w:rPr>
              <w:t>სააქციზო გადასახადი სამედიცინო აღჭურვილო</w:t>
            </w:r>
            <w:r w:rsidR="00DA4670">
              <w:rPr>
                <w:rFonts w:ascii="Sylfaen" w:eastAsia="Times New Roman" w:hAnsi="Sylfaen" w:cs="Times New Roman"/>
                <w:color w:val="222222"/>
                <w:sz w:val="20"/>
                <w:szCs w:val="20"/>
                <w:lang w:val="ka-GE"/>
              </w:rPr>
              <w:t>ბისა და მოწყობილობების გაყიდვაზე</w:t>
            </w:r>
            <w:r w:rsidR="00DA4670">
              <w:rPr>
                <w:rFonts w:ascii="Sylfaen" w:eastAsia="Times New Roman" w:hAnsi="Sylfaen" w:cs="Times New Roman"/>
                <w:color w:val="222222"/>
                <w:sz w:val="20"/>
                <w:szCs w:val="20"/>
                <w:lang w:val="en-US"/>
              </w:rPr>
              <w:t xml:space="preserve"> 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>მზარდი გადასახადი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  <w:t xml:space="preserve"> ( </w:t>
            </w:r>
            <w:r w:rsidR="007C5FF1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  <w:t>10%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 xml:space="preserve">-დან </w:t>
            </w:r>
            <w:r w:rsidR="007C5FF1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  <w:t xml:space="preserve"> 20%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>-მდე</w:t>
            </w:r>
            <w:r w:rsidR="007C5FF1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en-US"/>
              </w:rPr>
              <w:t xml:space="preserve">) </w:t>
            </w:r>
            <w:r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 xml:space="preserve">ჯანდაცვის შემნახველ ანგარიშზე, რომელიც არ გამოიყენება კვალიფიციური სამედიცინო </w:t>
            </w:r>
            <w:r w:rsidR="002F6F8F" w:rsidRPr="00DA4670">
              <w:rPr>
                <w:rFonts w:ascii="Sylfaen" w:eastAsia="Times New Roman" w:hAnsi="Sylfaen" w:cs="Arial"/>
                <w:bCs/>
                <w:color w:val="333333"/>
                <w:sz w:val="20"/>
                <w:szCs w:val="20"/>
                <w:lang w:val="ka-GE"/>
              </w:rPr>
              <w:t xml:space="preserve">ხარჯებისათვის </w:t>
            </w:r>
          </w:p>
        </w:tc>
        <w:tc>
          <w:tcPr>
            <w:tcW w:w="9634" w:type="dxa"/>
          </w:tcPr>
          <w:p w:rsidR="007C5FF1" w:rsidRPr="00DA4670" w:rsidRDefault="00720A47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  <w:lang w:val="ka-GE"/>
              </w:rPr>
              <w:t>გაუქმებულია</w:t>
            </w:r>
          </w:p>
        </w:tc>
      </w:tr>
      <w:tr w:rsidR="007C5FF1" w:rsidRPr="00DA4670" w:rsidTr="00DA467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508" w:type="dxa"/>
          </w:tcPr>
          <w:p w:rsidR="007C5FF1" w:rsidRPr="00DA4670" w:rsidRDefault="005C1869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333333"/>
                <w:sz w:val="20"/>
                <w:szCs w:val="20"/>
                <w:lang w:val="ka-GE"/>
              </w:rPr>
              <w:t xml:space="preserve">წლიური და სამუდამო შეზღუდვების აკრძალვები </w:t>
            </w:r>
          </w:p>
          <w:p w:rsidR="007C5FF1" w:rsidRPr="00DA4670" w:rsidRDefault="002F6F8F" w:rsidP="00DA4670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დამზღვევ პირებსა და ორგანიზაციებს ეკრძალებთ შე</w:t>
            </w:r>
            <w:r w:rsidR="009B29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ზ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ღუდვის დადგენა იმა</w:t>
            </w:r>
            <w:r w:rsidR="009B297E"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ზე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 xml:space="preserve">, თუ 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A4670">
              <w:rPr>
                <w:rFonts w:ascii="Sylfaen" w:hAnsi="Sylfaen" w:cs="Arial"/>
                <w:color w:val="333333"/>
                <w:sz w:val="20"/>
                <w:szCs w:val="20"/>
                <w:shd w:val="clear" w:color="auto" w:fill="FFFFFF"/>
                <w:lang w:val="ka-GE"/>
              </w:rPr>
              <w:t>რამდენი უნდა გადაიხადონ რომელიმე პირის სადაზღვევო უზრუნველყოფის დასაფარავად</w:t>
            </w:r>
            <w:r w:rsidR="007C5FF1" w:rsidRPr="00DA467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7C5FF1" w:rsidRPr="00DA4670" w:rsidRDefault="007C5FF1" w:rsidP="00DA4670">
            <w:pPr>
              <w:spacing w:after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634" w:type="dxa"/>
          </w:tcPr>
          <w:p w:rsidR="00720A47" w:rsidRPr="00DA4670" w:rsidRDefault="00720A47" w:rsidP="00DA467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DA4670">
              <w:rPr>
                <w:rFonts w:ascii="Sylfaen" w:eastAsia="Times New Roman" w:hAnsi="Sylfaen" w:cs="Arial"/>
                <w:b/>
                <w:bCs/>
                <w:color w:val="008000"/>
                <w:sz w:val="20"/>
                <w:szCs w:val="20"/>
                <w:lang w:val="ka-GE"/>
              </w:rPr>
              <w:t>შენარჩუნებულია</w:t>
            </w:r>
          </w:p>
          <w:p w:rsidR="007C5FF1" w:rsidRPr="00DA4670" w:rsidRDefault="007C5FF1" w:rsidP="00DA4670">
            <w:pPr>
              <w:shd w:val="clear" w:color="auto" w:fill="FFFFFF"/>
              <w:spacing w:after="0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7C5FF1" w:rsidRDefault="007C5FF1" w:rsidP="007C5FF1"/>
    <w:p w:rsidR="00376D5C" w:rsidRDefault="00376D5C"/>
    <w:sectPr w:rsidR="00376D5C" w:rsidSect="00DA46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F1"/>
    <w:rsid w:val="0006620A"/>
    <w:rsid w:val="0009655D"/>
    <w:rsid w:val="000C0D56"/>
    <w:rsid w:val="00143A7C"/>
    <w:rsid w:val="001B2230"/>
    <w:rsid w:val="001E163D"/>
    <w:rsid w:val="001F58E2"/>
    <w:rsid w:val="00205BEF"/>
    <w:rsid w:val="00207848"/>
    <w:rsid w:val="00294B70"/>
    <w:rsid w:val="002D6682"/>
    <w:rsid w:val="002F6F8F"/>
    <w:rsid w:val="0030749C"/>
    <w:rsid w:val="003124B6"/>
    <w:rsid w:val="00376D5C"/>
    <w:rsid w:val="004056BB"/>
    <w:rsid w:val="0040747E"/>
    <w:rsid w:val="00416A83"/>
    <w:rsid w:val="004571C2"/>
    <w:rsid w:val="004701E1"/>
    <w:rsid w:val="004A4B31"/>
    <w:rsid w:val="004A6F0C"/>
    <w:rsid w:val="00520D10"/>
    <w:rsid w:val="00532ADE"/>
    <w:rsid w:val="00560838"/>
    <w:rsid w:val="00562BA2"/>
    <w:rsid w:val="005C1869"/>
    <w:rsid w:val="005E166E"/>
    <w:rsid w:val="005E50AB"/>
    <w:rsid w:val="00622FA7"/>
    <w:rsid w:val="0068734F"/>
    <w:rsid w:val="006C5D05"/>
    <w:rsid w:val="006C694D"/>
    <w:rsid w:val="00700F3F"/>
    <w:rsid w:val="0070584A"/>
    <w:rsid w:val="00720A47"/>
    <w:rsid w:val="007468CC"/>
    <w:rsid w:val="0078312A"/>
    <w:rsid w:val="00792162"/>
    <w:rsid w:val="00794FD7"/>
    <w:rsid w:val="007B6092"/>
    <w:rsid w:val="007C5FF1"/>
    <w:rsid w:val="00893BEC"/>
    <w:rsid w:val="008B4BF4"/>
    <w:rsid w:val="008D7D26"/>
    <w:rsid w:val="009137A5"/>
    <w:rsid w:val="00920A63"/>
    <w:rsid w:val="00922162"/>
    <w:rsid w:val="00972E83"/>
    <w:rsid w:val="00995D4A"/>
    <w:rsid w:val="009A4EEF"/>
    <w:rsid w:val="009B297E"/>
    <w:rsid w:val="00A124AA"/>
    <w:rsid w:val="00A6605F"/>
    <w:rsid w:val="00B01DA3"/>
    <w:rsid w:val="00B0531C"/>
    <w:rsid w:val="00B67E05"/>
    <w:rsid w:val="00BE177F"/>
    <w:rsid w:val="00BF4B22"/>
    <w:rsid w:val="00BF68E8"/>
    <w:rsid w:val="00C0324F"/>
    <w:rsid w:val="00C20307"/>
    <w:rsid w:val="00C761FC"/>
    <w:rsid w:val="00C94907"/>
    <w:rsid w:val="00CA631A"/>
    <w:rsid w:val="00CD60F5"/>
    <w:rsid w:val="00D70268"/>
    <w:rsid w:val="00DA0C46"/>
    <w:rsid w:val="00DA4670"/>
    <w:rsid w:val="00DF3479"/>
    <w:rsid w:val="00E77385"/>
    <w:rsid w:val="00EA769F"/>
    <w:rsid w:val="00EC586C"/>
    <w:rsid w:val="00ED3F1D"/>
    <w:rsid w:val="00ED4606"/>
    <w:rsid w:val="00EF63E1"/>
    <w:rsid w:val="00F23CA0"/>
    <w:rsid w:val="00F52502"/>
    <w:rsid w:val="00F57C6E"/>
    <w:rsid w:val="00FA1FFF"/>
    <w:rsid w:val="00FA4314"/>
    <w:rsid w:val="00FD7894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F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F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5F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6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F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F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5F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6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11AD0-0242-46E4-A7ED-3166A563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6</cp:revision>
  <cp:lastPrinted>2017-04-13T05:42:00Z</cp:lastPrinted>
  <dcterms:created xsi:type="dcterms:W3CDTF">2017-04-13T11:58:00Z</dcterms:created>
  <dcterms:modified xsi:type="dcterms:W3CDTF">2017-04-13T12:11:00Z</dcterms:modified>
</cp:coreProperties>
</file>